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9734" w14:textId="77777777" w:rsidR="00CC3A54" w:rsidRPr="00C22D4D" w:rsidRDefault="00C22D4D">
      <w:pPr>
        <w:rPr>
          <w:rFonts w:ascii="Times New Roman" w:hAnsi="Times New Roman" w:cs="Times New Roman"/>
          <w:b/>
          <w:sz w:val="24"/>
          <w:szCs w:val="24"/>
        </w:rPr>
      </w:pPr>
      <w:r w:rsidRPr="00C22D4D">
        <w:rPr>
          <w:rFonts w:ascii="Times New Roman" w:hAnsi="Times New Roman" w:cs="Times New Roman"/>
          <w:b/>
          <w:sz w:val="24"/>
          <w:szCs w:val="24"/>
        </w:rPr>
        <w:t>Prilog</w:t>
      </w:r>
      <w:r w:rsidR="00E81556" w:rsidRPr="00C22D4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7B5882B9" w14:textId="77777777" w:rsidR="00C22D4D" w:rsidRPr="00C22D4D" w:rsidRDefault="00C22D4D">
      <w:pPr>
        <w:rPr>
          <w:rFonts w:ascii="Times New Roman" w:hAnsi="Times New Roman" w:cs="Times New Roman"/>
          <w:b/>
          <w:sz w:val="24"/>
          <w:szCs w:val="24"/>
        </w:rPr>
      </w:pPr>
    </w:p>
    <w:p w14:paraId="0D9BF570" w14:textId="369B2AB6" w:rsidR="00E81556" w:rsidRPr="00C22D4D" w:rsidRDefault="00E81556" w:rsidP="00C22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4D">
        <w:rPr>
          <w:rFonts w:ascii="Times New Roman" w:hAnsi="Times New Roman" w:cs="Times New Roman"/>
          <w:b/>
          <w:sz w:val="24"/>
          <w:szCs w:val="24"/>
        </w:rPr>
        <w:t xml:space="preserve">CILJEVI </w:t>
      </w:r>
      <w:r w:rsidR="00C22D4D" w:rsidRPr="00C22D4D">
        <w:rPr>
          <w:rFonts w:ascii="Times New Roman" w:hAnsi="Times New Roman" w:cs="Times New Roman"/>
          <w:b/>
          <w:sz w:val="24"/>
          <w:szCs w:val="24"/>
        </w:rPr>
        <w:t xml:space="preserve">LOKALNE RAZVOJNE STRATEGIJE LAG-A </w:t>
      </w:r>
      <w:r w:rsidR="00621226">
        <w:rPr>
          <w:rFonts w:ascii="Times New Roman" w:hAnsi="Times New Roman" w:cs="Times New Roman"/>
          <w:b/>
          <w:sz w:val="24"/>
          <w:szCs w:val="24"/>
        </w:rPr>
        <w:t>MURA-DRAVA</w:t>
      </w:r>
      <w:r w:rsidR="00E8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4D" w:rsidRPr="00C22D4D">
        <w:rPr>
          <w:rFonts w:ascii="Times New Roman" w:hAnsi="Times New Roman" w:cs="Times New Roman"/>
          <w:b/>
          <w:sz w:val="24"/>
          <w:szCs w:val="24"/>
        </w:rPr>
        <w:t>ZA RAZDOBLJE 2023.-2027. GODINE, UKLJUČUJUĆI I DODANU VRIJEDNOST</w:t>
      </w:r>
    </w:p>
    <w:p w14:paraId="3323717A" w14:textId="77777777" w:rsidR="00E81556" w:rsidRPr="00C22D4D" w:rsidRDefault="00E81556">
      <w:pPr>
        <w:rPr>
          <w:rFonts w:ascii="Times New Roman" w:hAnsi="Times New Roman" w:cs="Times New Roman"/>
          <w:b/>
          <w:sz w:val="24"/>
          <w:szCs w:val="24"/>
        </w:rPr>
      </w:pPr>
    </w:p>
    <w:p w14:paraId="71C51A1A" w14:textId="77777777" w:rsidR="00E81556" w:rsidRPr="00F26322" w:rsidRDefault="00C22D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22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E81556" w:rsidRPr="00F26322">
        <w:rPr>
          <w:rFonts w:ascii="Times New Roman" w:hAnsi="Times New Roman" w:cs="Times New Roman"/>
          <w:b/>
          <w:sz w:val="24"/>
          <w:szCs w:val="24"/>
          <w:u w:val="single"/>
        </w:rPr>
        <w:t>Opis općih i specifičnih ciljeva LRS</w:t>
      </w:r>
    </w:p>
    <w:tbl>
      <w:tblPr>
        <w:tblStyle w:val="Reetkatablice1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2835"/>
      </w:tblGrid>
      <w:tr w:rsidR="00621226" w:rsidRPr="00621226" w14:paraId="1505DC85" w14:textId="77777777" w:rsidTr="00621226">
        <w:trPr>
          <w:trHeight w:val="324"/>
        </w:trPr>
        <w:tc>
          <w:tcPr>
            <w:tcW w:w="1985" w:type="dxa"/>
            <w:shd w:val="clear" w:color="auto" w:fill="B4C6E7"/>
          </w:tcPr>
          <w:p w14:paraId="2754B840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bookmarkStart w:id="0" w:name="_Hlk46401780"/>
            <w:r w:rsidRPr="00621226">
              <w:rPr>
                <w:rFonts w:eastAsia="Calibri"/>
                <w:iCs/>
              </w:rPr>
              <w:t>Naziv općeg cilja</w:t>
            </w:r>
          </w:p>
        </w:tc>
        <w:tc>
          <w:tcPr>
            <w:tcW w:w="2268" w:type="dxa"/>
            <w:shd w:val="clear" w:color="auto" w:fill="B4C6E7"/>
          </w:tcPr>
          <w:p w14:paraId="782D4185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r w:rsidRPr="00621226">
              <w:rPr>
                <w:rFonts w:eastAsia="Calibri"/>
                <w:iCs/>
              </w:rPr>
              <w:t>Kratki opis općeg cilja</w:t>
            </w:r>
          </w:p>
        </w:tc>
        <w:tc>
          <w:tcPr>
            <w:tcW w:w="2693" w:type="dxa"/>
            <w:shd w:val="clear" w:color="auto" w:fill="B4C6E7"/>
          </w:tcPr>
          <w:p w14:paraId="7B377616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r w:rsidRPr="00621226">
              <w:rPr>
                <w:rFonts w:eastAsia="Calibri"/>
                <w:iCs/>
              </w:rPr>
              <w:t>Naziv specifičnog cilja</w:t>
            </w:r>
          </w:p>
        </w:tc>
        <w:tc>
          <w:tcPr>
            <w:tcW w:w="2835" w:type="dxa"/>
            <w:shd w:val="clear" w:color="auto" w:fill="B4C6E7"/>
          </w:tcPr>
          <w:p w14:paraId="19BA240E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r w:rsidRPr="00621226">
              <w:rPr>
                <w:rFonts w:eastAsia="Calibri"/>
                <w:iCs/>
              </w:rPr>
              <w:t>Kratki opis specifičnog cilja</w:t>
            </w:r>
          </w:p>
        </w:tc>
      </w:tr>
      <w:tr w:rsidR="00621226" w:rsidRPr="00621226" w14:paraId="07C9108F" w14:textId="77777777" w:rsidTr="00F96FD1">
        <w:trPr>
          <w:trHeight w:val="4564"/>
        </w:trPr>
        <w:tc>
          <w:tcPr>
            <w:tcW w:w="1985" w:type="dxa"/>
            <w:vMerge w:val="restart"/>
            <w:vAlign w:val="center"/>
          </w:tcPr>
          <w:p w14:paraId="1CE98CF8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bCs/>
                <w:iCs/>
              </w:rPr>
              <w:t>C 1. Jačanje konkurentnosti LAG područja i povećanje kvalitete života</w:t>
            </w:r>
          </w:p>
          <w:p w14:paraId="46D1D7D7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268" w:type="dxa"/>
            <w:vMerge w:val="restart"/>
          </w:tcPr>
          <w:p w14:paraId="7B523376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color w:val="000000"/>
              </w:rPr>
              <w:t>Jačanje konkurentnosti LAG područja i povećanje kvalitete života ključne su potrebe proizašle iz analize stanja, SWOT analize i sastanaka s dionicima. Jačanje konkurentnosti ostvarit će se s jedne strane jačanjem poljoprivredne proizvodnje te stvaranjem dodane vrijednosti putem prerade, a s</w:t>
            </w:r>
            <w:r w:rsidRPr="00621226">
              <w:rPr>
                <w:rFonts w:eastAsia="Calibri"/>
                <w:szCs w:val="24"/>
              </w:rPr>
              <w:t xml:space="preserve"> druge strane diverzifikacijom djelatnosti na poljoprivrednim gospodarstvima.  </w:t>
            </w:r>
          </w:p>
          <w:p w14:paraId="1B8D2656" w14:textId="77777777" w:rsidR="00621226" w:rsidRPr="00621226" w:rsidRDefault="00621226" w:rsidP="00621226">
            <w:pPr>
              <w:contextualSpacing/>
              <w:rPr>
                <w:rFonts w:eastAsia="Calibri"/>
                <w:szCs w:val="24"/>
              </w:rPr>
            </w:pPr>
            <w:r w:rsidRPr="00621226">
              <w:rPr>
                <w:rFonts w:eastAsia="Calibri"/>
                <w:szCs w:val="24"/>
              </w:rPr>
              <w:t>Kvaliteta života utječe na zadržavanje stanovnika u LAG području stoga je potrebno usmjeriti posebne napore u poboljšanje uvjeta za život i rad što se ostvaruje povećanjem konkurentnosti i stvaranjem uvjeta za zapošljavanje</w:t>
            </w:r>
          </w:p>
          <w:p w14:paraId="11047D73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 xml:space="preserve">te unaprjeđenjem i modernizacijom infrastrukture. </w:t>
            </w:r>
          </w:p>
        </w:tc>
        <w:tc>
          <w:tcPr>
            <w:tcW w:w="2693" w:type="dxa"/>
          </w:tcPr>
          <w:p w14:paraId="744D4DD6" w14:textId="77777777" w:rsidR="00621226" w:rsidRPr="00621226" w:rsidRDefault="00621226" w:rsidP="00621226">
            <w:pPr>
              <w:contextualSpacing/>
              <w:rPr>
                <w:rFonts w:eastAsia="Calibri"/>
                <w:iCs/>
                <w:highlight w:val="yellow"/>
              </w:rPr>
            </w:pPr>
            <w:r w:rsidRPr="00621226">
              <w:rPr>
                <w:rFonts w:eastAsia="Calibri"/>
                <w:bCs/>
                <w:iCs/>
              </w:rPr>
              <w:t>C 1.1 Jačanje konkurentnosti poljoprivrede LAG područja</w:t>
            </w:r>
          </w:p>
        </w:tc>
        <w:tc>
          <w:tcPr>
            <w:tcW w:w="2835" w:type="dxa"/>
          </w:tcPr>
          <w:p w14:paraId="54AFF943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>Analiza stanja i SWOT analiza ukazuju na strukturu u kojoj prevladavaju mali poljoprivredni  proizvođači orijentirani na nisko dohodovne kulture. Proizvođači su nedovoljno tehnološki opremljeni te ih je potrebno potaknuti na modernizaciju i proširenje kapaciteta.</w:t>
            </w:r>
          </w:p>
          <w:p w14:paraId="7DFA562E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>Preradom primarnih poljoprivrednih proizvoda ostvaruje se povećanje prihoda i povećava konkurentnost poljoprivrednih proizvođača na području LAG-a.</w:t>
            </w:r>
          </w:p>
        </w:tc>
      </w:tr>
      <w:tr w:rsidR="00621226" w:rsidRPr="00621226" w14:paraId="3C583112" w14:textId="77777777" w:rsidTr="00F96FD1">
        <w:trPr>
          <w:trHeight w:val="558"/>
        </w:trPr>
        <w:tc>
          <w:tcPr>
            <w:tcW w:w="1985" w:type="dxa"/>
            <w:vMerge/>
          </w:tcPr>
          <w:p w14:paraId="478CFC84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268" w:type="dxa"/>
            <w:vMerge/>
          </w:tcPr>
          <w:p w14:paraId="06C02122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693" w:type="dxa"/>
          </w:tcPr>
          <w:p w14:paraId="13C3CC47" w14:textId="77777777" w:rsidR="00621226" w:rsidRPr="00621226" w:rsidRDefault="00621226" w:rsidP="00621226">
            <w:pPr>
              <w:contextualSpacing/>
              <w:rPr>
                <w:rFonts w:eastAsia="Calibri"/>
                <w:bCs/>
                <w:iCs/>
              </w:rPr>
            </w:pPr>
            <w:r w:rsidRPr="00621226">
              <w:rPr>
                <w:rFonts w:eastAsia="Calibri"/>
                <w:bCs/>
                <w:iCs/>
              </w:rPr>
              <w:t>C 1.2 Jačanje diverzifikacije i prepoznatljivosti LAG područja razvojem ruralnog turizma i dopunskih djelatnosti</w:t>
            </w:r>
          </w:p>
          <w:p w14:paraId="598078BD" w14:textId="77777777" w:rsidR="00621226" w:rsidRPr="00621226" w:rsidRDefault="00621226" w:rsidP="00621226">
            <w:pPr>
              <w:contextualSpacing/>
              <w:rPr>
                <w:rFonts w:eastAsia="Calibri"/>
                <w:iCs/>
                <w:highlight w:val="yellow"/>
              </w:rPr>
            </w:pPr>
          </w:p>
        </w:tc>
        <w:tc>
          <w:tcPr>
            <w:tcW w:w="2835" w:type="dxa"/>
          </w:tcPr>
          <w:p w14:paraId="30A4C64C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 xml:space="preserve">Jačanjem diverzifikacije putem razvoja ruralnog turizma i drugih nepoljoprivrednih djelatnosti povećat će se prihodi i mogućnosti za zapošljavanje što će rezultirati stvaranjem novih radnih mjesta. Navedeno će povećati prepoznatljivost LAG područja na nacionalnoj razini. </w:t>
            </w:r>
          </w:p>
        </w:tc>
      </w:tr>
      <w:tr w:rsidR="00621226" w:rsidRPr="00621226" w14:paraId="6C043C73" w14:textId="77777777" w:rsidTr="00F96FD1">
        <w:trPr>
          <w:trHeight w:val="1940"/>
        </w:trPr>
        <w:tc>
          <w:tcPr>
            <w:tcW w:w="1985" w:type="dxa"/>
            <w:vMerge/>
          </w:tcPr>
          <w:p w14:paraId="1E5F42C1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268" w:type="dxa"/>
            <w:vMerge/>
          </w:tcPr>
          <w:p w14:paraId="479096F7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693" w:type="dxa"/>
          </w:tcPr>
          <w:p w14:paraId="10FC6C0F" w14:textId="77777777" w:rsidR="00621226" w:rsidRPr="00621226" w:rsidRDefault="00621226" w:rsidP="00621226">
            <w:pPr>
              <w:contextualSpacing/>
              <w:rPr>
                <w:rFonts w:eastAsia="Calibri"/>
                <w:iCs/>
                <w:highlight w:val="yellow"/>
              </w:rPr>
            </w:pPr>
            <w:r w:rsidRPr="00621226">
              <w:rPr>
                <w:rFonts w:eastAsia="Calibri"/>
                <w:iCs/>
              </w:rPr>
              <w:t>C 1.3 Unaprjeđenje i razvoj  javne infrastrukture te potpora udrugama</w:t>
            </w:r>
          </w:p>
        </w:tc>
        <w:tc>
          <w:tcPr>
            <w:tcW w:w="2835" w:type="dxa"/>
          </w:tcPr>
          <w:p w14:paraId="3ECA2542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>Analiza stanja, kao i dionici uključeni u proces izrade LRS-a, istaknuli su razvojnu potrebu za podrškom aktivnostima udruga te unaprjeđenjem i  razvojem infrastrukture koja predstavlja preduvjet rasta i razvoja LAG područja te unaprjeđenja životnih uvjeta i kvalitete života LAG područja.</w:t>
            </w:r>
          </w:p>
        </w:tc>
      </w:tr>
      <w:bookmarkEnd w:id="0"/>
    </w:tbl>
    <w:p w14:paraId="31874DE8" w14:textId="77777777" w:rsidR="00E81556" w:rsidRPr="00C22D4D" w:rsidRDefault="00E81556" w:rsidP="00E81556">
      <w:pPr>
        <w:keepNext/>
        <w:keepLines/>
        <w:spacing w:after="0" w:line="240" w:lineRule="auto"/>
        <w:jc w:val="both"/>
        <w:outlineLvl w:val="2"/>
        <w:rPr>
          <w:rFonts w:ascii="Times New Roman" w:eastAsia="Yu Gothic Light" w:hAnsi="Times New Roman" w:cs="Times New Roman"/>
          <w:b/>
          <w:sz w:val="24"/>
          <w:szCs w:val="24"/>
        </w:rPr>
      </w:pPr>
    </w:p>
    <w:p w14:paraId="6553B9F5" w14:textId="77777777" w:rsidR="00E81556" w:rsidRPr="00C22D4D" w:rsidRDefault="00E81556">
      <w:pPr>
        <w:rPr>
          <w:rFonts w:ascii="Times New Roman" w:hAnsi="Times New Roman" w:cs="Times New Roman"/>
          <w:b/>
          <w:sz w:val="24"/>
          <w:szCs w:val="24"/>
        </w:rPr>
      </w:pPr>
    </w:p>
    <w:p w14:paraId="05283074" w14:textId="77777777" w:rsidR="00621226" w:rsidRPr="00621226" w:rsidRDefault="00621226" w:rsidP="00F2632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LAG Mura-Drava zeleno je i inovativno područje prepoznatljivo po poljoprivredi koja teži ekološkoj i biodinamičkoj proizvodnji, razvijenom ruralnom turizmu, kvalitetnoj infrastrukturi te očuvanoj prirodnoj i kulturnoj baštini</w:t>
      </w:r>
      <w:r w:rsidRPr="00621226">
        <w:rPr>
          <w:rFonts w:ascii="Times New Roman" w:hAnsi="Times New Roman" w:cs="Times New Roman"/>
          <w:iCs/>
          <w:sz w:val="24"/>
          <w:szCs w:val="24"/>
        </w:rPr>
        <w:t xml:space="preserve"> – razvojna je vizija </w:t>
      </w:r>
      <w:r w:rsidRPr="00621226">
        <w:rPr>
          <w:rFonts w:ascii="Times New Roman" w:hAnsi="Times New Roman" w:cs="Times New Roman"/>
          <w:iCs/>
          <w:sz w:val="24"/>
          <w:szCs w:val="24"/>
          <w:lang w:val="vi-VN"/>
        </w:rPr>
        <w:t>koja definira smjer u</w:t>
      </w:r>
      <w:r w:rsidRPr="00621226">
        <w:rPr>
          <w:rFonts w:ascii="Times New Roman" w:hAnsi="Times New Roman" w:cs="Times New Roman"/>
          <w:iCs/>
          <w:sz w:val="24"/>
          <w:szCs w:val="24"/>
        </w:rPr>
        <w:t xml:space="preserve"> kojem se LAG želi razvijati u razdoblju 2023. – 2027. godine. 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Razvojni ciljevi LAG-a Mura-Drava kreirani su temeljem analize postojećih razvojnih izazova i potreba  te SWOT analize i usmjereni su na osiguravanje realizacije razvojne vizije. </w:t>
      </w:r>
    </w:p>
    <w:p w14:paraId="71D7822B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Opći cilj </w:t>
      </w:r>
      <w:r w:rsidRPr="00621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 1.</w:t>
      </w:r>
      <w:r w:rsidRPr="006212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Jačanje konkurentnosti LAG područja i povećanje kvalitete života</w:t>
      </w:r>
    </w:p>
    <w:p w14:paraId="73A9A463" w14:textId="77777777" w:rsidR="00621226" w:rsidRPr="00621226" w:rsidRDefault="00621226" w:rsidP="00F2632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Analiza stanja i SWOT analiza ukazale su na ključne razvojne potrebe LAG područja. Značajna depopulacija područja, smanjenje broja poljoprivrednih proizvođača, uglavnom mješovita mala gospodarstva, nedostatak preradbenih kapaciteta, neiskorišteni kapaciteti za razvoj ruralnog turizma i nepoljoprivrednih djelatnosti, nedovoljno iskorišteni prirodni i kulturni resursi rezultiraju smanjenom konkurentnosti LAG područja. Stoga je cilj </w:t>
      </w:r>
      <w:r w:rsidRPr="00621226">
        <w:rPr>
          <w:rFonts w:ascii="Times New Roman" w:hAnsi="Times New Roman" w:cs="Times New Roman"/>
          <w:bCs/>
          <w:iCs/>
          <w:sz w:val="24"/>
          <w:szCs w:val="24"/>
        </w:rPr>
        <w:t>usmjeren na sveobuhvatno jačanje konkurentnosti LAG područja koja će se ostvariti; unaprjeđenjem i povećanjem učinkovitosti poljoprivredne proizvodnje te poticanjem prerade kako bi se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 osigurala održivost i konkurentnost poljoprivrednih gospodarstava i poljoprivrede u cijelosti; poticanjem diverzifikacije djelatnosti na području LAG-a te uvođenjem nepoljoprivrednih djelatnosti povećat će se prihodi, </w:t>
      </w:r>
      <w:proofErr w:type="spellStart"/>
      <w:r w:rsidRPr="00621226">
        <w:rPr>
          <w:rFonts w:ascii="Times New Roman" w:hAnsi="Times New Roman" w:cs="Times New Roman"/>
          <w:color w:val="000000"/>
          <w:sz w:val="24"/>
          <w:szCs w:val="24"/>
        </w:rPr>
        <w:t>zapošljivost</w:t>
      </w:r>
      <w:proofErr w:type="spellEnd"/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 te prepoznatljivost LAG područja. </w:t>
      </w:r>
    </w:p>
    <w:p w14:paraId="4E147242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21226">
        <w:rPr>
          <w:rFonts w:ascii="Times New Roman" w:hAnsi="Times New Roman" w:cs="Times New Roman"/>
          <w:bCs/>
          <w:iCs/>
          <w:sz w:val="24"/>
          <w:szCs w:val="24"/>
        </w:rPr>
        <w:t xml:space="preserve">Nadalje, cilj je usmjeren na </w:t>
      </w:r>
      <w:r w:rsidRPr="00621226">
        <w:rPr>
          <w:rFonts w:ascii="Times New Roman" w:hAnsi="Times New Roman" w:cs="Times New Roman"/>
          <w:sz w:val="24"/>
          <w:szCs w:val="24"/>
        </w:rPr>
        <w:t>poboljšanje uvjeta za život i rad na području LAG-a.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 Analiza stanja ukazala je i na nedostatke u gotovo svim tipovima infrastrukture, a prvenstveno u komunalnoj, društvenoj i prometnoj infrastrukturi.</w:t>
      </w:r>
      <w:r w:rsidRPr="00621226">
        <w:rPr>
          <w:rFonts w:ascii="Times New Roman" w:hAnsi="Times New Roman" w:cs="Times New Roman"/>
          <w:sz w:val="24"/>
          <w:szCs w:val="24"/>
        </w:rPr>
        <w:t xml:space="preserve"> Dugoročna održivost i zadržavanje stanovnika na području LAG-a uvelike ovisi o kvaliteti života te postojanju (pred)uvjeta za rad i poslovanje pri čemu kvalitetna infrastruktura igra značajnu ulogu. 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Ostvarenju navedenog cilja doprinijet će tri specifična cilja: </w:t>
      </w: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 1.1 Jačanje konkurentnosti poljoprivrede LAG područja</w:t>
      </w:r>
      <w:r w:rsidRPr="00621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C 1.2 Jačanje diverzifikacije i prepoznatljivosti LAG područja razvojem ruralnog turizma i dopunskih djelatnosti, </w:t>
      </w:r>
      <w:r w:rsidRPr="0062122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C 1.3 Unaprjeđenje i razvoj  javne infrastrukture. </w:t>
      </w:r>
    </w:p>
    <w:p w14:paraId="01703768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90A33B3" w14:textId="77777777" w:rsidR="00621226" w:rsidRPr="00621226" w:rsidRDefault="00621226" w:rsidP="00F26322">
      <w:pPr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</w:pP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 1.1 Jačanje konkurentnosti poljoprivrede LAG područja</w:t>
      </w:r>
    </w:p>
    <w:p w14:paraId="276E263B" w14:textId="77777777" w:rsidR="00621226" w:rsidRDefault="00621226" w:rsidP="00F2632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Analiza stanja pokazala je kako se broj poljoprivrednih proizvođača rapidno smanjuje, a većina preostalih proizvodi za vlastite potrebe i ostvaruje minimalne prihode. Realizacija specifičnog cilja ostvarit će se ulaganjem u povećanje kapaciteta, </w:t>
      </w:r>
      <w:r w:rsidRPr="00621226">
        <w:rPr>
          <w:rFonts w:ascii="Times New Roman" w:hAnsi="Times New Roman" w:cs="Times New Roman"/>
          <w:sz w:val="24"/>
          <w:szCs w:val="24"/>
        </w:rPr>
        <w:t xml:space="preserve">modernizaciju poljoprivredne proizvodnje, 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nove zelene i inovativne tehnologije. Navedeno je nužno kako bi se povećala konkurentnost postojeće poljoprivredne proizvodnje te zadržala postojeća i otvorila nova radna mjesta na području LAG-a. Nadalje, potrebno je detektirati projekte i aktivnosti kojima će se ostvariti sinergija poljoprivrede i održivog turizma koji je uz poljoprivredu definiran kao ključni faktor razvoja LAG područja. Sukladno tome, potrebno je podržati stvaranje dodane vrijednosti poljoprivrednim proizvodima putem prerade te njihovu promociju i plasman putem turizma. Ispunjenjem cilja spriječit će se daljnje smanjenje broja poljoprivrednih proizvođača, povećat će se njihova tržišna konkurentnost što će utjecati na zadržavanje stanovništva i revitalizaciju LAG područja. </w:t>
      </w:r>
    </w:p>
    <w:p w14:paraId="5F82AC24" w14:textId="77777777" w:rsidR="00F26322" w:rsidRPr="00621226" w:rsidRDefault="00F26322" w:rsidP="00F26322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BD8052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BF0B04A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C 1.2 Jačanje diverzifikacije i prepoznatljivosti LAG područja razvojem ruralnog turizma i dopunskih djelatnosti</w:t>
      </w:r>
    </w:p>
    <w:p w14:paraId="6BA7F34D" w14:textId="77777777" w:rsidR="00621226" w:rsidRPr="00621226" w:rsidRDefault="00621226" w:rsidP="00F2632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hAnsi="Times New Roman" w:cs="Times New Roman"/>
          <w:sz w:val="24"/>
          <w:szCs w:val="24"/>
        </w:rPr>
        <w:t xml:space="preserve">Značajni potencijal za razvoj LAG-a leži u razvoju ruralnog turizma. Osim duge tradicije u poljoprivrednoj proizvodnji LAG karakterizira bogata resursna osnova u prirodnoj i kulturnoj baštini te je prepoznata potreba održivog korištenja istih u svrhu razvoja posebnih vrsta turizma. Poticanjem očuvanja tradicijskih zanata (čipkarstvo, košaraštvo, </w:t>
      </w:r>
      <w:proofErr w:type="spellStart"/>
      <w:r w:rsidRPr="00621226">
        <w:rPr>
          <w:rFonts w:ascii="Times New Roman" w:hAnsi="Times New Roman" w:cs="Times New Roman"/>
          <w:sz w:val="24"/>
          <w:szCs w:val="24"/>
        </w:rPr>
        <w:t>medičarstvo</w:t>
      </w:r>
      <w:proofErr w:type="spellEnd"/>
      <w:r w:rsidRPr="00621226">
        <w:rPr>
          <w:rFonts w:ascii="Times New Roman" w:hAnsi="Times New Roman" w:cs="Times New Roman"/>
          <w:sz w:val="24"/>
          <w:szCs w:val="24"/>
        </w:rPr>
        <w:t xml:space="preserve">, </w:t>
      </w:r>
      <w:r w:rsidRPr="00621226">
        <w:rPr>
          <w:rFonts w:ascii="Times New Roman" w:eastAsia="Times New Roman" w:hAnsi="Times New Roman" w:cs="Times New Roman"/>
          <w:sz w:val="24"/>
          <w:szCs w:val="24"/>
        </w:rPr>
        <w:t>bačvarstvo, mlinarstvo, ispiranje zlata, splavarenje)</w:t>
      </w:r>
      <w:r w:rsidRPr="00621226">
        <w:rPr>
          <w:rFonts w:ascii="Times New Roman" w:hAnsi="Times New Roman" w:cs="Times New Roman"/>
          <w:sz w:val="24"/>
          <w:szCs w:val="24"/>
        </w:rPr>
        <w:t xml:space="preserve"> kao i razvojem pojedinih tipova smještajnih kapaciteta, kušaonica i izletišta ostvaruje se diverzifikacija i jačanje prepoznatljivosti LAG područja. Ulaganja u razvoj ruralnog turizma i drugih nepoljoprivrednih djelatnosti osigurat će gospodarski razvoj i povećati prepoznatljivosti područja LAG-a Mura-Drava. Razvoj ruralnog turizma omogućit će i plasman poljoprivrednih proizvoda čime će se ostvariti sinergijski efekt.</w:t>
      </w:r>
    </w:p>
    <w:p w14:paraId="252DCACF" w14:textId="77777777" w:rsidR="00621226" w:rsidRPr="00621226" w:rsidRDefault="00621226" w:rsidP="00F2632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CA2829" w14:textId="77777777" w:rsidR="00621226" w:rsidRPr="00621226" w:rsidRDefault="00621226" w:rsidP="00F2632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1226">
        <w:rPr>
          <w:rFonts w:ascii="Times New Roman" w:hAnsi="Times New Roman" w:cs="Times New Roman"/>
          <w:b/>
          <w:i/>
          <w:iCs/>
          <w:sz w:val="24"/>
          <w:szCs w:val="24"/>
        </w:rPr>
        <w:t>C 1.3 Unaprjeđenje i razvoj  javne infrastrukture te potpora udrugama</w:t>
      </w:r>
    </w:p>
    <w:p w14:paraId="2E73993E" w14:textId="77777777" w:rsidR="00621226" w:rsidRPr="00621226" w:rsidRDefault="00621226" w:rsidP="00F2632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21226">
        <w:rPr>
          <w:rFonts w:ascii="Times New Roman" w:hAnsi="Times New Roman" w:cs="Times New Roman"/>
          <w:sz w:val="24"/>
          <w:szCs w:val="24"/>
        </w:rPr>
        <w:t xml:space="preserve">Na temelju analize stanja LAG područja i informacija dionika uključenih u izradu LRS-a utvrđene su </w:t>
      </w:r>
      <w:r w:rsidRPr="00621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značajne potrebe za razvojem i unaprjeđenjem gotovo svih vrsta javne infrastrukture te potpora udrugama na LAG području. </w:t>
      </w:r>
    </w:p>
    <w:p w14:paraId="52EAC8D9" w14:textId="23CAAC07" w:rsidR="00EC79E7" w:rsidRDefault="00621226" w:rsidP="00F26322">
      <w:pPr>
        <w:jc w:val="both"/>
        <w:rPr>
          <w:rFonts w:ascii="Times New Roman" w:hAnsi="Times New Roman" w:cs="Times New Roman"/>
          <w:sz w:val="24"/>
          <w:szCs w:val="24"/>
        </w:rPr>
      </w:pPr>
      <w:r w:rsidRPr="00621226">
        <w:rPr>
          <w:rFonts w:ascii="Times New Roman" w:hAnsi="Times New Roman" w:cs="Times New Roman"/>
          <w:bCs/>
          <w:sz w:val="24"/>
          <w:szCs w:val="24"/>
        </w:rPr>
        <w:t>Ulaganje u razvoj i unaprjeđenje javne infrastrukture</w:t>
      </w:r>
      <w:r w:rsidRPr="00621226">
        <w:rPr>
          <w:rFonts w:ascii="Times New Roman" w:hAnsi="Times New Roman" w:cs="Times New Roman"/>
          <w:sz w:val="24"/>
          <w:szCs w:val="24"/>
        </w:rPr>
        <w:t xml:space="preserve"> kao i potpora aktivnostima udruga doprinijet će društveno-gospodarskom razvoju i rastu te unaprjeđenju životnih uvjeta LAG područja. Prilikom odabira projekata financiranih u sklopu ovog općeg cilja prednost će se dati onima koji ujedno doprinose realizaciji ciljeva C1 i C2, tj. onima koji omogućuju jačanje konkurentnosti poljoprivredne proizvodnje (tržnice, nerazvrstane ceste) i jačanju diverzifikacije i prepoznatljivosti (izložbeni prostori, društveni domovi, biciklističke staze i sl. turistička infrastruktura).</w:t>
      </w:r>
    </w:p>
    <w:p w14:paraId="3A2CB9C0" w14:textId="77777777" w:rsidR="00621226" w:rsidRPr="00621226" w:rsidRDefault="00621226" w:rsidP="00F26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14E09" w14:textId="6CD4047C" w:rsidR="00621226" w:rsidRDefault="00C22D4D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621226" w:rsidRPr="00F26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Dodana vrijednost</w:t>
      </w:r>
      <w:r w:rsidR="00621226" w:rsidRPr="00621226">
        <w:rPr>
          <w:rFonts w:ascii="Times New Roman" w:eastAsia="Times New Roman" w:hAnsi="Times New Roman" w:cs="Times New Roman"/>
          <w:sz w:val="24"/>
          <w:szCs w:val="24"/>
        </w:rPr>
        <w:t xml:space="preserve"> provedbe ove intervencije očituje se kroz jačanje kapaciteta te uspostavu horizontalne i vertikalne suradnje lokalnih dionika pri planiranju i provedbi projekata. </w:t>
      </w:r>
    </w:p>
    <w:p w14:paraId="55CFA516" w14:textId="77777777" w:rsidR="0071437B" w:rsidRDefault="0071437B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75234" w14:textId="5BD3D622" w:rsidR="00621226" w:rsidRDefault="007F27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722">
        <w:rPr>
          <w:rFonts w:ascii="Times New Roman" w:hAnsi="Times New Roman" w:cs="Times New Roman"/>
          <w:b/>
          <w:sz w:val="24"/>
          <w:szCs w:val="24"/>
        </w:rPr>
        <w:t>Jačanje kapaciteta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722">
        <w:rPr>
          <w:rFonts w:ascii="Times New Roman" w:hAnsi="Times New Roman" w:cs="Times New Roman"/>
          <w:bCs/>
          <w:sz w:val="24"/>
          <w:szCs w:val="24"/>
        </w:rPr>
        <w:t>očituje se razmjenom znanja i vještina lokalnih razvojnih dionika LAG područja</w:t>
      </w:r>
      <w:r>
        <w:rPr>
          <w:rFonts w:ascii="Times New Roman" w:hAnsi="Times New Roman" w:cs="Times New Roman"/>
          <w:bCs/>
          <w:sz w:val="24"/>
          <w:szCs w:val="24"/>
        </w:rPr>
        <w:t xml:space="preserve"> vezano uz glavnu projektnu aktivnost. Valorizira se </w:t>
      </w:r>
      <w:r w:rsidRPr="007F2722">
        <w:rPr>
          <w:rFonts w:ascii="Times New Roman" w:hAnsi="Times New Roman" w:cs="Times New Roman"/>
          <w:bCs/>
          <w:sz w:val="24"/>
          <w:szCs w:val="24"/>
        </w:rPr>
        <w:t>broj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7F2722">
        <w:rPr>
          <w:rFonts w:ascii="Times New Roman" w:hAnsi="Times New Roman" w:cs="Times New Roman"/>
          <w:bCs/>
          <w:sz w:val="24"/>
          <w:szCs w:val="24"/>
        </w:rPr>
        <w:t xml:space="preserve"> informativno-edukacijskih aktivnosti prijenosa/razmjene znanja i vještina dionika unutar LAG područja (stanovnika koji imaju prebivalište ili gospodarskih subjekata/organizacija koje imaju sjedište ili registriranu podružnicu na području LAG-a)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1752C1C" w14:textId="77777777" w:rsidR="0071437B" w:rsidRDefault="0071437B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349CE" w14:textId="3FA7822F" w:rsidR="00F26322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322">
        <w:rPr>
          <w:rFonts w:ascii="Times New Roman" w:hAnsi="Times New Roman" w:cs="Times New Roman"/>
          <w:b/>
          <w:sz w:val="24"/>
          <w:szCs w:val="24"/>
        </w:rPr>
        <w:t>Horizontalna i vertikalna suradnje lokalnih dionika pri planiranju i provedbi projekata</w:t>
      </w:r>
      <w:r>
        <w:rPr>
          <w:rFonts w:ascii="Times New Roman" w:hAnsi="Times New Roman" w:cs="Times New Roman"/>
          <w:bCs/>
          <w:sz w:val="24"/>
          <w:szCs w:val="24"/>
        </w:rPr>
        <w:t xml:space="preserve"> očituje se kroz zadovoljavanje potreba dionika unutar LAG područja. Valorizira se brojem dionika koji su izrazili potrebu za provođenje glavne aktivnosti projekta čime se dokazuje svrsishodnost same aktivnosti</w:t>
      </w:r>
      <w:r w:rsidR="00654278">
        <w:rPr>
          <w:rFonts w:ascii="Times New Roman" w:hAnsi="Times New Roman" w:cs="Times New Roman"/>
          <w:bCs/>
          <w:sz w:val="24"/>
          <w:szCs w:val="24"/>
        </w:rPr>
        <w:t xml:space="preserve"> kao i brojem dionika </w:t>
      </w:r>
      <w:r w:rsidR="00654278" w:rsidRPr="00654278">
        <w:rPr>
          <w:rFonts w:ascii="Times New Roman" w:hAnsi="Times New Roman" w:cs="Times New Roman"/>
          <w:bCs/>
          <w:sz w:val="24"/>
          <w:szCs w:val="24"/>
        </w:rPr>
        <w:t>koji sudjeluju u planiranju, pripremi i provedbi projekta (uključivanje udruga, relevantnih institucija, pojedinaca</w:t>
      </w:r>
      <w:r w:rsidR="001B6F00">
        <w:rPr>
          <w:rFonts w:ascii="Times New Roman" w:hAnsi="Times New Roman" w:cs="Times New Roman"/>
          <w:bCs/>
          <w:sz w:val="24"/>
          <w:szCs w:val="24"/>
        </w:rPr>
        <w:t>, tijela JLS</w:t>
      </w:r>
      <w:r w:rsidR="00654278" w:rsidRPr="00654278">
        <w:rPr>
          <w:rFonts w:ascii="Times New Roman" w:hAnsi="Times New Roman" w:cs="Times New Roman"/>
          <w:bCs/>
          <w:sz w:val="24"/>
          <w:szCs w:val="24"/>
        </w:rPr>
        <w:t xml:space="preserve"> i dr.)</w:t>
      </w:r>
    </w:p>
    <w:p w14:paraId="2E5B7354" w14:textId="77777777" w:rsidR="00F26322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08DD5" w14:textId="77777777" w:rsidR="00F26322" w:rsidRPr="00F26322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2">
        <w:rPr>
          <w:rFonts w:ascii="Times New Roman" w:hAnsi="Times New Roman" w:cs="Times New Roman"/>
          <w:b/>
          <w:sz w:val="24"/>
          <w:szCs w:val="24"/>
        </w:rPr>
        <w:t>Koncept Pametnih sela:</w:t>
      </w:r>
    </w:p>
    <w:p w14:paraId="069DE5F2" w14:textId="77777777" w:rsidR="00F26322" w:rsidRPr="00F26322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322">
        <w:rPr>
          <w:rFonts w:ascii="Times New Roman" w:hAnsi="Times New Roman" w:cs="Times New Roman"/>
          <w:bCs/>
          <w:sz w:val="24"/>
          <w:szCs w:val="24"/>
        </w:rPr>
        <w:t>Dodana vrijednost projekata očituje se i kroz doprinos konceptu Pametnih sela:</w:t>
      </w:r>
    </w:p>
    <w:p w14:paraId="728B25EA" w14:textId="580BAEBB" w:rsidR="00F26322" w:rsidRPr="00F26322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322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322">
        <w:rPr>
          <w:rFonts w:ascii="Times New Roman" w:hAnsi="Times New Roman" w:cs="Times New Roman"/>
          <w:bCs/>
          <w:sz w:val="24"/>
          <w:szCs w:val="24"/>
        </w:rPr>
        <w:t xml:space="preserve">Inovativna i pametna rješenja u selima: u ovu kategoriju svrstavaju se projekti koji se odnose </w:t>
      </w:r>
      <w:r w:rsidRPr="00F26322">
        <w:rPr>
          <w:rFonts w:ascii="Times New Roman" w:hAnsi="Times New Roman" w:cs="Times New Roman"/>
          <w:bCs/>
          <w:sz w:val="24"/>
          <w:szCs w:val="24"/>
        </w:rPr>
        <w:lastRenderedPageBreak/>
        <w:t>na ulaganja u inovativna rješenja u izgradnji i  modernizaciji i nove tehnologije u opremanju javne infrastrukture.</w:t>
      </w:r>
    </w:p>
    <w:p w14:paraId="2A0E2730" w14:textId="41234C49" w:rsidR="00EC79E7" w:rsidRPr="00F26322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322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322">
        <w:rPr>
          <w:rFonts w:ascii="Times New Roman" w:hAnsi="Times New Roman" w:cs="Times New Roman"/>
          <w:bCs/>
          <w:sz w:val="24"/>
          <w:szCs w:val="24"/>
        </w:rPr>
        <w:t>Doprinos okolišnim ciljevima i ublažavanje klimatskih promjena u selima: u ovu kategoriju svrstavaju se projekti koji se odnose na ulaganja u novu energetski učinkovitiju infrastrukturnu opremu</w:t>
      </w:r>
    </w:p>
    <w:sectPr w:rsidR="00EC79E7" w:rsidRPr="00F26322" w:rsidSect="00C22D4D">
      <w:headerReference w:type="default" r:id="rId7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5009" w14:textId="77777777" w:rsidR="00C22D4D" w:rsidRDefault="00C22D4D" w:rsidP="00C22D4D">
      <w:pPr>
        <w:spacing w:after="0" w:line="240" w:lineRule="auto"/>
      </w:pPr>
      <w:r>
        <w:separator/>
      </w:r>
    </w:p>
  </w:endnote>
  <w:endnote w:type="continuationSeparator" w:id="0">
    <w:p w14:paraId="54A43F1D" w14:textId="77777777" w:rsidR="00C22D4D" w:rsidRDefault="00C22D4D" w:rsidP="00C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B948" w14:textId="77777777" w:rsidR="00C22D4D" w:rsidRDefault="00C22D4D" w:rsidP="00C22D4D">
      <w:pPr>
        <w:spacing w:after="0" w:line="240" w:lineRule="auto"/>
      </w:pPr>
      <w:r>
        <w:separator/>
      </w:r>
    </w:p>
  </w:footnote>
  <w:footnote w:type="continuationSeparator" w:id="0">
    <w:p w14:paraId="78BD89CE" w14:textId="77777777" w:rsidR="00C22D4D" w:rsidRDefault="00C22D4D" w:rsidP="00C2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4CCF" w14:textId="4DAFC3CD" w:rsidR="00C22D4D" w:rsidRDefault="00C22D4D">
    <w:pPr>
      <w:pStyle w:val="Zaglavlje"/>
    </w:pPr>
    <w:r>
      <w:rPr>
        <w:noProof/>
      </w:rPr>
      <w:drawing>
        <wp:inline distT="0" distB="0" distL="0" distR="0" wp14:anchorId="14DE634F" wp14:editId="3294928F">
          <wp:extent cx="3529965" cy="57912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621226">
      <w:rPr>
        <w:noProof/>
      </w:rPr>
      <w:drawing>
        <wp:inline distT="0" distB="0" distL="0" distR="0" wp14:anchorId="6AF76A0F" wp14:editId="36F52B4F">
          <wp:extent cx="1133475" cy="628084"/>
          <wp:effectExtent l="0" t="0" r="0" b="635"/>
          <wp:docPr id="12735083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50836" name="Slika 1273508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19" cy="634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2D5"/>
    <w:multiLevelType w:val="hybridMultilevel"/>
    <w:tmpl w:val="D4D6B2DC"/>
    <w:lvl w:ilvl="0" w:tplc="C6A43A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D85E59"/>
    <w:multiLevelType w:val="hybridMultilevel"/>
    <w:tmpl w:val="69705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49728">
    <w:abstractNumId w:val="1"/>
  </w:num>
  <w:num w:numId="2" w16cid:durableId="105350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6"/>
    <w:rsid w:val="001B6F00"/>
    <w:rsid w:val="00274079"/>
    <w:rsid w:val="003A1C33"/>
    <w:rsid w:val="0048061A"/>
    <w:rsid w:val="00621226"/>
    <w:rsid w:val="00654278"/>
    <w:rsid w:val="006F0E75"/>
    <w:rsid w:val="0071437B"/>
    <w:rsid w:val="00766629"/>
    <w:rsid w:val="007F2722"/>
    <w:rsid w:val="00A217C1"/>
    <w:rsid w:val="00AA6D37"/>
    <w:rsid w:val="00B83D9D"/>
    <w:rsid w:val="00C22D4D"/>
    <w:rsid w:val="00CC3A54"/>
    <w:rsid w:val="00E81556"/>
    <w:rsid w:val="00E81B6C"/>
    <w:rsid w:val="00EC79E7"/>
    <w:rsid w:val="00F26322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6E0D0C"/>
  <w15:chartTrackingRefBased/>
  <w15:docId w15:val="{D6BABEEB-78AF-4631-A5E2-F1E48E65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556"/>
    <w:pPr>
      <w:spacing w:after="0" w:line="240" w:lineRule="auto"/>
      <w:jc w:val="both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E81556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qFormat/>
    <w:rsid w:val="00E81556"/>
    <w:rPr>
      <w:rFonts w:eastAsiaTheme="minorEastAsia"/>
      <w:lang w:val="en-US"/>
    </w:rPr>
  </w:style>
  <w:style w:type="table" w:customStyle="1" w:styleId="Reetkatablice2">
    <w:name w:val="Rešetka tablice2"/>
    <w:basedOn w:val="Obinatablica"/>
    <w:next w:val="Reetkatablice"/>
    <w:uiPriority w:val="39"/>
    <w:rsid w:val="00E8155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2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D4D"/>
  </w:style>
  <w:style w:type="paragraph" w:styleId="Podnoje">
    <w:name w:val="footer"/>
    <w:basedOn w:val="Normal"/>
    <w:link w:val="PodnojeChar"/>
    <w:uiPriority w:val="99"/>
    <w:unhideWhenUsed/>
    <w:rsid w:val="00C2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D4D"/>
  </w:style>
  <w:style w:type="table" w:customStyle="1" w:styleId="Reetkatablice1">
    <w:name w:val="Rešetka tablice1"/>
    <w:basedOn w:val="Obinatablica"/>
    <w:next w:val="Reetkatablice"/>
    <w:uiPriority w:val="39"/>
    <w:qFormat/>
    <w:rsid w:val="006212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Ivana Hajdinjak</cp:lastModifiedBy>
  <cp:revision>6</cp:revision>
  <dcterms:created xsi:type="dcterms:W3CDTF">2025-01-13T13:09:00Z</dcterms:created>
  <dcterms:modified xsi:type="dcterms:W3CDTF">2025-01-22T07:56:00Z</dcterms:modified>
</cp:coreProperties>
</file>